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w:t>
      </w:r>
      <w:r>
        <w:rPr>
          <w:rFonts w:hint="eastAsia" w:ascii="Arial" w:hAnsi="Arial" w:cs="Arial"/>
          <w:b/>
          <w:sz w:val="24"/>
          <w:szCs w:val="24"/>
        </w:rPr>
        <w:t xml:space="preserve">                              R4-2402510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hint="eastAsia" w:ascii="Arial" w:hAnsi="Arial" w:cs="Arial"/>
          <w:b/>
          <w:sz w:val="24"/>
          <w:szCs w:val="24"/>
          <w:lang w:val="en-US" w:eastAsia="zh-CN"/>
        </w:rPr>
        <w:t>Athens</w:t>
      </w:r>
      <w:r>
        <w:rPr>
          <w:rFonts w:ascii="Arial" w:hAnsi="Arial" w:cs="Arial"/>
          <w:b/>
          <w:sz w:val="24"/>
          <w:szCs w:val="24"/>
        </w:rPr>
        <w:t xml:space="preserve">, </w:t>
      </w:r>
      <w:r>
        <w:rPr>
          <w:rFonts w:hint="eastAsia" w:ascii="Arial" w:hAnsi="Arial" w:cs="Arial"/>
          <w:b/>
          <w:sz w:val="24"/>
          <w:szCs w:val="24"/>
          <w:lang w:val="en-US" w:eastAsia="zh-CN"/>
        </w:rPr>
        <w:t>Greece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Feb 26</w:t>
      </w:r>
      <w:r>
        <w:rPr>
          <w:rFonts w:ascii="Arial" w:hAnsi="Arial" w:cs="Arial"/>
          <w:b/>
          <w:sz w:val="24"/>
          <w:szCs w:val="24"/>
        </w:rPr>
        <w:t xml:space="preserve"> – </w:t>
      </w:r>
      <w:r>
        <w:rPr>
          <w:rFonts w:hint="eastAsia" w:ascii="Arial" w:hAnsi="Arial" w:cs="Arial"/>
          <w:b/>
          <w:sz w:val="24"/>
          <w:szCs w:val="24"/>
          <w:lang w:val="en-US" w:eastAsia="zh-CN"/>
        </w:rPr>
        <w:t>Mar</w:t>
      </w:r>
      <w:r>
        <w:rPr>
          <w:rFonts w:ascii="Arial" w:hAnsi="Arial" w:cs="Arial"/>
          <w:b/>
          <w:sz w:val="24"/>
          <w:szCs w:val="24"/>
        </w:rPr>
        <w:t xml:space="preserve"> </w:t>
      </w:r>
      <w:r>
        <w:rPr>
          <w:rFonts w:hint="eastAsia" w:ascii="Arial" w:hAnsi="Arial" w:cs="Arial"/>
          <w:b/>
          <w:sz w:val="24"/>
          <w:szCs w:val="24"/>
          <w:lang w:val="en-US" w:eastAsia="zh-CN"/>
        </w:rPr>
        <w:t>1</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8.9.2.1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the applicability of 1024QAM for ATG UE</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eastAsia" w:cs="Times New Roman"/>
          <w:sz w:val="20"/>
          <w:szCs w:val="20"/>
          <w:lang w:val="en-US" w:eastAsia="zh-CN"/>
        </w:rPr>
      </w:pPr>
      <w:r>
        <w:rPr>
          <w:rFonts w:hint="eastAsia" w:cs="Times New Roman"/>
          <w:sz w:val="20"/>
          <w:szCs w:val="20"/>
          <w:lang w:val="en-US" w:eastAsia="zh-CN"/>
        </w:rPr>
        <w:t xml:space="preserve">In the previous RAN4 meetings, there were some late discussions on the applicability of 1024QAM on ATG UE, it was agreed to further discuss whether to introduce 1024QAM in the maintenance phase. In this contribution, we would like to share some further views on the applicability and feasibility of 1024QAM on ATG UE.  </w:t>
      </w:r>
    </w:p>
    <w:p>
      <w:pPr>
        <w:rPr>
          <w:rFonts w:hint="default" w:cs="Times New Roman"/>
          <w:sz w:val="20"/>
          <w:szCs w:val="20"/>
          <w:lang w:val="en-US" w:eastAsia="zh-CN"/>
        </w:rPr>
      </w:pPr>
      <w:r>
        <w:rPr>
          <w:rFonts w:eastAsiaTheme="minorEastAsia"/>
          <w:highlight w:val="green"/>
        </w:rPr>
        <w:t>Agreement: further discuss whether to introduce 1024QAM in maintenance phase.</w:t>
      </w:r>
    </w:p>
    <w:p>
      <w:pPr>
        <w:pStyle w:val="58"/>
        <w:tabs>
          <w:tab w:val="left" w:pos="567"/>
          <w:tab w:val="clear" w:pos="1985"/>
        </w:tabs>
        <w:adjustRightInd w:val="0"/>
        <w:ind w:left="510" w:hanging="510"/>
      </w:pPr>
      <w:r>
        <w:rPr>
          <w:rFonts w:hint="eastAsia"/>
        </w:rPr>
        <w:t xml:space="preserve">Discussion </w:t>
      </w:r>
      <w:bookmarkStart w:id="1" w:name="OLE_LINK20"/>
      <w:bookmarkStart w:id="2" w:name="OLE_LINK10"/>
      <w:bookmarkStart w:id="3" w:name="OLE_LINK13"/>
      <w:bookmarkStart w:id="4" w:name="OLE_LINK14"/>
      <w:r>
        <w:rPr>
          <w:rFonts w:hint="eastAsia" w:eastAsia="Times New Roman"/>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eastAsia"/>
          <w:lang w:val="en-US" w:eastAsia="zh-CN"/>
        </w:rPr>
      </w:pPr>
      <w:r>
        <w:rPr>
          <w:rStyle w:val="104"/>
          <w:rFonts w:hint="eastAsia"/>
          <w:lang w:val="en-US" w:eastAsia="zh-CN"/>
        </w:rPr>
        <w:t>It is well known that 1024QAM in FR1 was introduced in Rel-17 with very stringent and challenging transmitter EVM requirement in order to achieve better performance than FR1 DL 256QAM, however in order to meet this challenging transmitter EVM requirement, the BS power backoff is somehow inevitable which is not desirable for coverage limited deployment scenario or coverage driven deployment scenario. This achieved EVM performance is also somehow highly dependent on the EVM contribution from AAU eCPRI data compression in addition to the PA non-linearity performance of transmitter RF chain. For Wide area BS with massive MIMO architecture, it</w:t>
      </w:r>
      <w:r>
        <w:rPr>
          <w:rStyle w:val="104"/>
          <w:rFonts w:hint="default"/>
          <w:lang w:val="en-US" w:eastAsia="zh-CN"/>
        </w:rPr>
        <w:t>’</w:t>
      </w:r>
      <w:r>
        <w:rPr>
          <w:rStyle w:val="104"/>
          <w:rFonts w:hint="eastAsia"/>
          <w:lang w:val="en-US" w:eastAsia="zh-CN"/>
        </w:rPr>
        <w:t>s clear that there would be quite huge backhaul capacity burden on eCPRI interface. At least from our understanding, to implement 1024QAM on the local area BS and with indoor deployment is more promising and feasible deployment. In other words, we don</w:t>
      </w:r>
      <w:r>
        <w:rPr>
          <w:rStyle w:val="104"/>
          <w:rFonts w:hint="default"/>
          <w:lang w:val="en-US" w:eastAsia="zh-CN"/>
        </w:rPr>
        <w:t>’</w:t>
      </w:r>
      <w:r>
        <w:rPr>
          <w:rStyle w:val="104"/>
          <w:rFonts w:hint="eastAsia"/>
          <w:lang w:val="en-US" w:eastAsia="zh-CN"/>
        </w:rPr>
        <w:t xml:space="preserve">t see too much meaning and usefulness to define the 1024QAM requirement for Wide area BS and also corresponding requirement at ATG UE side. In addition, we need to further evaluate from both ATG BS transmitter EVM performance and receiver EVM performance of ATG UE to verify the performance gain with 1024QAM on ATG product.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38"/>
              <w:suppressLineNumbers w:val="0"/>
              <w:spacing w:before="0" w:beforeAutospacing="0" w:afterAutospacing="0"/>
              <w:ind w:left="0" w:right="0"/>
              <w:rPr>
                <w:rFonts w:hint="default" w:cs="Arial"/>
              </w:rPr>
            </w:pPr>
            <w:r>
              <w:rPr>
                <w:rFonts w:hint="default" w:cs="Arial"/>
              </w:rPr>
              <w:t>Modulation scheme for PDSCH</w:t>
            </w:r>
          </w:p>
        </w:tc>
        <w:tc>
          <w:tcPr>
            <w:tcW w:w="2583" w:type="dxa"/>
          </w:tcPr>
          <w:p>
            <w:pPr>
              <w:pStyle w:val="38"/>
              <w:suppressLineNumbers w:val="0"/>
              <w:spacing w:before="0" w:beforeAutospacing="0" w:afterAutospacing="0"/>
              <w:ind w:left="0" w:right="0"/>
              <w:rPr>
                <w:rFonts w:hint="default" w:cs="Arial"/>
              </w:rPr>
            </w:pPr>
            <w:r>
              <w:rPr>
                <w:rFonts w:hint="default" w:cs="Arial"/>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39"/>
              <w:suppressLineNumbers w:val="0"/>
              <w:spacing w:before="0" w:beforeAutospacing="0" w:afterAutospacing="0"/>
              <w:ind w:left="0" w:right="0"/>
              <w:rPr>
                <w:rFonts w:hint="default" w:cs="Arial"/>
              </w:rPr>
            </w:pPr>
            <w:r>
              <w:rPr>
                <w:rFonts w:hint="default" w:cs="Arial"/>
              </w:rPr>
              <w:t>QPSK</w:t>
            </w:r>
          </w:p>
        </w:tc>
        <w:tc>
          <w:tcPr>
            <w:tcW w:w="2583" w:type="dxa"/>
          </w:tcPr>
          <w:p>
            <w:pPr>
              <w:pStyle w:val="39"/>
              <w:suppressLineNumbers w:val="0"/>
              <w:spacing w:before="0" w:beforeAutospacing="0" w:afterAutospacing="0"/>
              <w:ind w:left="0" w:right="0"/>
              <w:rPr>
                <w:rFonts w:hint="default" w:cs="Arial"/>
              </w:rPr>
            </w:pPr>
            <w:r>
              <w:rPr>
                <w:rFonts w:hint="default" w:cs="Arial"/>
              </w:rPr>
              <w:t>17.5 %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39"/>
              <w:suppressLineNumbers w:val="0"/>
              <w:spacing w:before="0" w:beforeAutospacing="0" w:afterAutospacing="0"/>
              <w:ind w:left="0" w:right="0"/>
              <w:rPr>
                <w:rFonts w:hint="default" w:cs="Arial"/>
              </w:rPr>
            </w:pPr>
            <w:r>
              <w:rPr>
                <w:rFonts w:hint="default" w:cs="Arial"/>
              </w:rPr>
              <w:t>16QAM</w:t>
            </w:r>
          </w:p>
        </w:tc>
        <w:tc>
          <w:tcPr>
            <w:tcW w:w="2583" w:type="dxa"/>
          </w:tcPr>
          <w:p>
            <w:pPr>
              <w:pStyle w:val="39"/>
              <w:suppressLineNumbers w:val="0"/>
              <w:spacing w:before="0" w:beforeAutospacing="0" w:afterAutospacing="0"/>
              <w:ind w:left="0" w:right="0"/>
              <w:rPr>
                <w:rFonts w:hint="default" w:cs="Arial"/>
              </w:rPr>
            </w:pPr>
            <w:r>
              <w:rPr>
                <w:rFonts w:hint="default" w:cs="Arial"/>
              </w:rPr>
              <w:t>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39"/>
              <w:suppressLineNumbers w:val="0"/>
              <w:spacing w:before="0" w:beforeAutospacing="0" w:afterAutospacing="0"/>
              <w:ind w:left="0" w:right="0"/>
              <w:rPr>
                <w:rFonts w:hint="default" w:cs="Arial"/>
              </w:rPr>
            </w:pPr>
            <w:r>
              <w:rPr>
                <w:rFonts w:hint="default" w:cs="Arial"/>
              </w:rPr>
              <w:t>64QAM</w:t>
            </w:r>
          </w:p>
        </w:tc>
        <w:tc>
          <w:tcPr>
            <w:tcW w:w="2583" w:type="dxa"/>
          </w:tcPr>
          <w:p>
            <w:pPr>
              <w:pStyle w:val="39"/>
              <w:suppressLineNumbers w:val="0"/>
              <w:spacing w:before="0" w:beforeAutospacing="0" w:afterAutospacing="0"/>
              <w:ind w:left="0" w:right="0"/>
              <w:rPr>
                <w:rFonts w:hint="default" w:cs="Arial"/>
              </w:rPr>
            </w:pPr>
            <w:r>
              <w:rPr>
                <w:rFonts w:hint="default" w:cs="Arial"/>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39"/>
              <w:suppressLineNumbers w:val="0"/>
              <w:spacing w:before="0" w:beforeAutospacing="0" w:afterAutospacing="0"/>
              <w:ind w:left="0" w:right="0"/>
              <w:rPr>
                <w:rFonts w:hint="default" w:cs="Arial"/>
              </w:rPr>
            </w:pPr>
            <w:r>
              <w:rPr>
                <w:rFonts w:hint="default" w:cs="Arial"/>
              </w:rPr>
              <w:t>256QAM</w:t>
            </w:r>
          </w:p>
        </w:tc>
        <w:tc>
          <w:tcPr>
            <w:tcW w:w="2583" w:type="dxa"/>
          </w:tcPr>
          <w:p>
            <w:pPr>
              <w:pStyle w:val="39"/>
              <w:suppressLineNumbers w:val="0"/>
              <w:spacing w:before="0" w:beforeAutospacing="0" w:afterAutospacing="0"/>
              <w:ind w:left="0" w:right="0"/>
              <w:rPr>
                <w:rFonts w:hint="default" w:cs="Arial"/>
              </w:rPr>
            </w:pPr>
            <w:r>
              <w:rPr>
                <w:rFonts w:hint="default" w:cs="Arial"/>
              </w:rPr>
              <w:t>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cs="Arial"/>
              </w:rPr>
            </w:pPr>
            <w:r>
              <w:rPr>
                <w:rFonts w:hint="eastAsia" w:cs="Arial"/>
                <w:lang w:eastAsia="zh-CN"/>
              </w:rPr>
              <w:t>1</w:t>
            </w:r>
            <w:r>
              <w:rPr>
                <w:rFonts w:hint="default" w:cs="Arial"/>
                <w:lang w:eastAsia="zh-CN"/>
              </w:rPr>
              <w:t>024QAM</w:t>
            </w:r>
          </w:p>
        </w:tc>
        <w:tc>
          <w:tcPr>
            <w:tcW w:w="2583"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cs="Arial"/>
                <w:vertAlign w:val="superscript"/>
                <w:lang w:eastAsia="zh-CN"/>
              </w:rPr>
            </w:pPr>
            <w:r>
              <w:rPr>
                <w:rFonts w:hint="default" w:cs="Arial"/>
                <w:lang w:eastAsia="zh-CN"/>
              </w:rPr>
              <w:t>2.5 %</w:t>
            </w:r>
            <w:r>
              <w:rPr>
                <w:rFonts w:hint="default" w:cs="Arial"/>
                <w:vertAlign w:val="superscript"/>
                <w:lang w:eastAsia="zh-CN"/>
              </w:rPr>
              <w:t>1</w:t>
            </w:r>
          </w:p>
          <w:p>
            <w:pPr>
              <w:pStyle w:val="39"/>
              <w:suppressLineNumbers w:val="0"/>
              <w:spacing w:before="0" w:beforeAutospacing="0" w:afterAutospacing="0"/>
              <w:ind w:left="0" w:right="0"/>
              <w:rPr>
                <w:rFonts w:hint="default" w:cs="Arial"/>
              </w:rPr>
            </w:pPr>
            <w:r>
              <w:rPr>
                <w:rFonts w:hint="default" w:cs="Arial"/>
                <w:lang w:eastAsia="zh-CN"/>
              </w:rPr>
              <w:t>2.8 %</w:t>
            </w:r>
            <w:r>
              <w:rPr>
                <w:rFonts w:hint="default"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pStyle w:val="51"/>
              <w:suppressLineNumbers w:val="0"/>
              <w:spacing w:before="0" w:beforeAutospacing="0" w:afterAutospacing="0"/>
              <w:ind w:right="0"/>
              <w:rPr>
                <w:rFonts w:hint="default" w:eastAsiaTheme="minorEastAsia"/>
                <w:lang w:eastAsia="zh-CN"/>
              </w:rPr>
            </w:pPr>
            <w:r>
              <w:rPr>
                <w:rFonts w:hint="default" w:eastAsiaTheme="minorEastAsia"/>
              </w:rPr>
              <w:t>Note</w:t>
            </w:r>
            <w:r>
              <w:rPr>
                <w:rFonts w:hint="default" w:eastAsiaTheme="minorEastAsia"/>
                <w:lang w:eastAsia="zh-CN"/>
              </w:rPr>
              <w:t>1</w:t>
            </w:r>
            <w:r>
              <w:rPr>
                <w:rFonts w:hint="default" w:eastAsiaTheme="minorEastAsia"/>
              </w:rPr>
              <w:t>:</w:t>
            </w:r>
            <w:r>
              <w:rPr>
                <w:rFonts w:hint="default" w:eastAsiaTheme="minorEastAsia"/>
              </w:rPr>
              <w:tab/>
            </w:r>
            <w:r>
              <w:rPr>
                <w:rFonts w:hint="default" w:eastAsiaTheme="minorEastAsia"/>
                <w:lang w:eastAsia="zh-CN"/>
              </w:rPr>
              <w:t>This requirement is applicable for frequencies equal to or below 4.2 GHz.</w:t>
            </w:r>
          </w:p>
          <w:p>
            <w:pPr>
              <w:pStyle w:val="51"/>
              <w:suppressLineNumbers w:val="0"/>
              <w:spacing w:before="0" w:beforeAutospacing="0" w:afterAutospacing="0"/>
              <w:ind w:right="0"/>
              <w:rPr>
                <w:rFonts w:hint="default"/>
              </w:rPr>
            </w:pPr>
            <w:r>
              <w:rPr>
                <w:rFonts w:hint="default" w:eastAsiaTheme="minorEastAsia"/>
              </w:rPr>
              <w:t xml:space="preserve">Note </w:t>
            </w:r>
            <w:r>
              <w:rPr>
                <w:rFonts w:hint="default" w:eastAsiaTheme="minorEastAsia"/>
                <w:lang w:eastAsia="zh-CN"/>
              </w:rPr>
              <w:t>2</w:t>
            </w:r>
            <w:r>
              <w:rPr>
                <w:rFonts w:hint="default" w:eastAsiaTheme="minorEastAsia"/>
              </w:rPr>
              <w:t>:</w:t>
            </w:r>
            <w:r>
              <w:rPr>
                <w:rFonts w:hint="default" w:eastAsiaTheme="minorEastAsia"/>
              </w:rPr>
              <w:tab/>
            </w:r>
            <w:r>
              <w:rPr>
                <w:rFonts w:hint="default" w:eastAsiaTheme="minorEastAsia"/>
                <w:lang w:eastAsia="zh-CN"/>
              </w:rPr>
              <w:t>This requirement is applicable for frequencies above 4.2 GHz.</w:t>
            </w:r>
          </w:p>
        </w:tc>
      </w:tr>
    </w:tbl>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eastAsiaTheme="minorEastAsia"/>
          <w:lang w:val="en-US" w:eastAsia="zh-CN"/>
        </w:rPr>
      </w:pPr>
      <w:r>
        <w:rPr>
          <w:rFonts w:hint="eastAsia" w:eastAsiaTheme="minorEastAsia"/>
        </w:rPr>
        <w:t xml:space="preserve">In this contribution, </w:t>
      </w:r>
      <w:r>
        <w:rPr>
          <w:rFonts w:hint="eastAsia" w:eastAsiaTheme="minorEastAsia"/>
          <w:lang w:val="en-US" w:eastAsia="zh-CN"/>
        </w:rPr>
        <w:t>we shared some further analysis for the applicability of DL 1024QAM requirement for ATG UE and proposals are made as following:</w:t>
      </w:r>
    </w:p>
    <w:p>
      <w:pPr>
        <w:rPr>
          <w:rFonts w:hint="default"/>
          <w:highlight w:val="none"/>
          <w:lang w:val="en-US"/>
        </w:rPr>
      </w:pPr>
      <w:r>
        <w:rPr>
          <w:rStyle w:val="104"/>
          <w:rFonts w:hint="eastAsia"/>
          <w:b/>
          <w:bCs/>
          <w:highlight w:val="none"/>
          <w:lang w:val="en-US" w:eastAsia="zh-CN"/>
        </w:rPr>
        <w:t>Proposal 1:</w:t>
      </w:r>
      <w:r>
        <w:rPr>
          <w:rStyle w:val="104"/>
          <w:rFonts w:hint="eastAsia"/>
          <w:highlight w:val="none"/>
          <w:lang w:val="en-US" w:eastAsia="zh-CN"/>
        </w:rPr>
        <w:t xml:space="preserve"> propose not to consider the maximum input power and other related demod requirement of 1024QAM for ATG UE.</w:t>
      </w:r>
    </w:p>
    <w:p>
      <w:pPr>
        <w:pStyle w:val="58"/>
        <w:tabs>
          <w:tab w:val="left" w:pos="567"/>
          <w:tab w:val="clear" w:pos="1985"/>
        </w:tabs>
        <w:adjustRightInd w:val="0"/>
        <w:ind w:left="510" w:hanging="510"/>
      </w:pPr>
      <w:r>
        <w:t>References</w:t>
      </w:r>
    </w:p>
    <w:p>
      <w:pPr>
        <w:pStyle w:val="56"/>
        <w:numPr>
          <w:ilvl w:val="0"/>
          <w:numId w:val="2"/>
        </w:numPr>
        <w:rPr>
          <w:rFonts w:hint="eastAsia" w:ascii="Times New Roman" w:hAnsi="Times New Roman" w:cs="Times New Roman"/>
          <w:sz w:val="20"/>
          <w:szCs w:val="20"/>
        </w:rPr>
      </w:pPr>
      <w:r>
        <w:rPr>
          <w:rFonts w:hint="eastAsia" w:cs="Times New Roman"/>
          <w:sz w:val="20"/>
          <w:szCs w:val="20"/>
          <w:lang w:val="en-US" w:eastAsia="zh-CN"/>
        </w:rPr>
        <w:fldChar w:fldCharType="begin"/>
      </w:r>
      <w:r>
        <w:rPr>
          <w:rFonts w:hint="eastAsia" w:cs="Times New Roman"/>
          <w:sz w:val="20"/>
          <w:szCs w:val="20"/>
          <w:lang w:val="en-US" w:eastAsia="zh-CN"/>
        </w:rPr>
        <w:instrText xml:space="preserve"> HYPERLINK "http://10.10.10.10/ftp/RAN/RAN4/Inbox/R4-2321918.zip" </w:instrText>
      </w:r>
      <w:r>
        <w:rPr>
          <w:rFonts w:hint="eastAsia" w:cs="Times New Roman"/>
          <w:sz w:val="20"/>
          <w:szCs w:val="20"/>
          <w:lang w:val="en-US" w:eastAsia="zh-CN"/>
        </w:rPr>
        <w:fldChar w:fldCharType="separate"/>
      </w:r>
      <w:r>
        <w:rPr>
          <w:rFonts w:hint="eastAsia" w:cs="Times New Roman"/>
          <w:sz w:val="20"/>
          <w:szCs w:val="20"/>
          <w:lang w:val="en-US" w:eastAsia="zh-CN"/>
        </w:rPr>
        <w:t>R4-2321918</w:t>
      </w:r>
      <w:r>
        <w:rPr>
          <w:rFonts w:hint="eastAsia" w:cs="Times New Roman"/>
          <w:sz w:val="20"/>
          <w:szCs w:val="20"/>
          <w:lang w:val="en-US" w:eastAsia="zh-CN"/>
        </w:rPr>
        <w:fldChar w:fldCharType="end"/>
      </w:r>
      <w:r>
        <w:rPr>
          <w:rFonts w:hint="eastAsia" w:cs="Times New Roman"/>
          <w:sz w:val="20"/>
          <w:szCs w:val="20"/>
          <w:lang w:val="en-US" w:eastAsia="zh-CN"/>
        </w:rPr>
        <w:t>, Draft CR for TS 38.101-1 to introduce ATG UE RF Rx requirements - part 1.</w:t>
      </w:r>
    </w:p>
    <w:p>
      <w:pPr>
        <w:pStyle w:val="56"/>
        <w:rPr>
          <w:sz w:val="20"/>
          <w:szCs w:val="20"/>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C03"/>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B73"/>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1BD5"/>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7C"/>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3A670F"/>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24275"/>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618EA"/>
    <w:rsid w:val="035C4C68"/>
    <w:rsid w:val="035D2EB4"/>
    <w:rsid w:val="03651217"/>
    <w:rsid w:val="03687ADD"/>
    <w:rsid w:val="03696DA6"/>
    <w:rsid w:val="036A231E"/>
    <w:rsid w:val="03774924"/>
    <w:rsid w:val="03822F79"/>
    <w:rsid w:val="038B3715"/>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4143C"/>
    <w:rsid w:val="0444783F"/>
    <w:rsid w:val="044753DC"/>
    <w:rsid w:val="044C3FDE"/>
    <w:rsid w:val="045835A5"/>
    <w:rsid w:val="045C0E21"/>
    <w:rsid w:val="045E1DEE"/>
    <w:rsid w:val="045F0F0B"/>
    <w:rsid w:val="045F23BF"/>
    <w:rsid w:val="04605B56"/>
    <w:rsid w:val="04671100"/>
    <w:rsid w:val="046E568E"/>
    <w:rsid w:val="04786E64"/>
    <w:rsid w:val="04786ED3"/>
    <w:rsid w:val="04811E74"/>
    <w:rsid w:val="04856247"/>
    <w:rsid w:val="04865E52"/>
    <w:rsid w:val="04875104"/>
    <w:rsid w:val="048829D4"/>
    <w:rsid w:val="049B40DC"/>
    <w:rsid w:val="049D3973"/>
    <w:rsid w:val="04A128B3"/>
    <w:rsid w:val="04A3117E"/>
    <w:rsid w:val="04C6655F"/>
    <w:rsid w:val="04CD2C67"/>
    <w:rsid w:val="04D66461"/>
    <w:rsid w:val="04D85EFD"/>
    <w:rsid w:val="04D95F6F"/>
    <w:rsid w:val="04E06510"/>
    <w:rsid w:val="04ED5A99"/>
    <w:rsid w:val="04FB4499"/>
    <w:rsid w:val="04FF76AB"/>
    <w:rsid w:val="05010225"/>
    <w:rsid w:val="051034CD"/>
    <w:rsid w:val="051F43BC"/>
    <w:rsid w:val="052432F7"/>
    <w:rsid w:val="052549C7"/>
    <w:rsid w:val="05280A89"/>
    <w:rsid w:val="052D14A7"/>
    <w:rsid w:val="052E75AC"/>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463CC"/>
    <w:rsid w:val="05CC32B8"/>
    <w:rsid w:val="05CE30B5"/>
    <w:rsid w:val="05D16BC6"/>
    <w:rsid w:val="05DC2707"/>
    <w:rsid w:val="05E660EA"/>
    <w:rsid w:val="05E73462"/>
    <w:rsid w:val="05EB0F6A"/>
    <w:rsid w:val="05EE3B4E"/>
    <w:rsid w:val="05FA1213"/>
    <w:rsid w:val="05FB01BC"/>
    <w:rsid w:val="05FB781A"/>
    <w:rsid w:val="05FF3135"/>
    <w:rsid w:val="060030B7"/>
    <w:rsid w:val="060836A6"/>
    <w:rsid w:val="060C4293"/>
    <w:rsid w:val="060C5B07"/>
    <w:rsid w:val="060D249E"/>
    <w:rsid w:val="0611054F"/>
    <w:rsid w:val="06111076"/>
    <w:rsid w:val="061146F4"/>
    <w:rsid w:val="062362D5"/>
    <w:rsid w:val="062734D4"/>
    <w:rsid w:val="062D742E"/>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6771F"/>
    <w:rsid w:val="072717DA"/>
    <w:rsid w:val="07277193"/>
    <w:rsid w:val="072B7E46"/>
    <w:rsid w:val="072F2139"/>
    <w:rsid w:val="07330557"/>
    <w:rsid w:val="073B285A"/>
    <w:rsid w:val="073F4D45"/>
    <w:rsid w:val="07420D70"/>
    <w:rsid w:val="07436058"/>
    <w:rsid w:val="074E566F"/>
    <w:rsid w:val="074F3DF9"/>
    <w:rsid w:val="07503C30"/>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250C8"/>
    <w:rsid w:val="08D836B6"/>
    <w:rsid w:val="08D964D0"/>
    <w:rsid w:val="08E05424"/>
    <w:rsid w:val="08F10FA0"/>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E75AF"/>
    <w:rsid w:val="0A7F11A2"/>
    <w:rsid w:val="0A7F4F37"/>
    <w:rsid w:val="0A843B9D"/>
    <w:rsid w:val="0A8621F2"/>
    <w:rsid w:val="0A897334"/>
    <w:rsid w:val="0A8A7513"/>
    <w:rsid w:val="0A8C711B"/>
    <w:rsid w:val="0A8F1F9F"/>
    <w:rsid w:val="0A9124C9"/>
    <w:rsid w:val="0A9B6BF5"/>
    <w:rsid w:val="0A9E5B2C"/>
    <w:rsid w:val="0AA24BFF"/>
    <w:rsid w:val="0AA40CFE"/>
    <w:rsid w:val="0AA4164F"/>
    <w:rsid w:val="0AA50074"/>
    <w:rsid w:val="0AAB401F"/>
    <w:rsid w:val="0AB329A9"/>
    <w:rsid w:val="0ABA55D8"/>
    <w:rsid w:val="0ABE30B5"/>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67734"/>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1E322C"/>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82A70"/>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4784"/>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74EC2"/>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B4942"/>
    <w:rsid w:val="0E0D1A47"/>
    <w:rsid w:val="0E176FCD"/>
    <w:rsid w:val="0E193FCB"/>
    <w:rsid w:val="0E1C0C6C"/>
    <w:rsid w:val="0E2134C9"/>
    <w:rsid w:val="0E232F90"/>
    <w:rsid w:val="0E281319"/>
    <w:rsid w:val="0E3002B8"/>
    <w:rsid w:val="0E3217E8"/>
    <w:rsid w:val="0E387AA5"/>
    <w:rsid w:val="0E393B3A"/>
    <w:rsid w:val="0E3D2E6B"/>
    <w:rsid w:val="0E3F0E9A"/>
    <w:rsid w:val="0E400D03"/>
    <w:rsid w:val="0E406D5C"/>
    <w:rsid w:val="0E485C9B"/>
    <w:rsid w:val="0E4D4B22"/>
    <w:rsid w:val="0E5A04BE"/>
    <w:rsid w:val="0E5E2B07"/>
    <w:rsid w:val="0E6A0F47"/>
    <w:rsid w:val="0E6A1721"/>
    <w:rsid w:val="0E7250B1"/>
    <w:rsid w:val="0E7454FD"/>
    <w:rsid w:val="0E752596"/>
    <w:rsid w:val="0E771E51"/>
    <w:rsid w:val="0E796EA0"/>
    <w:rsid w:val="0E7A2A61"/>
    <w:rsid w:val="0E7C0762"/>
    <w:rsid w:val="0E8118C0"/>
    <w:rsid w:val="0E8164AD"/>
    <w:rsid w:val="0E894FFB"/>
    <w:rsid w:val="0E943177"/>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ED4D4C"/>
    <w:rsid w:val="0EF75D05"/>
    <w:rsid w:val="0EF957FE"/>
    <w:rsid w:val="0EFA5D3C"/>
    <w:rsid w:val="0EFE2ACB"/>
    <w:rsid w:val="0F0752A8"/>
    <w:rsid w:val="0F087675"/>
    <w:rsid w:val="0F0D240A"/>
    <w:rsid w:val="0F0E2F3A"/>
    <w:rsid w:val="0F12247A"/>
    <w:rsid w:val="0F1D0ECD"/>
    <w:rsid w:val="0F2158E7"/>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E7CB0"/>
    <w:rsid w:val="0F8F27CB"/>
    <w:rsid w:val="0F9A3D44"/>
    <w:rsid w:val="0F9F0781"/>
    <w:rsid w:val="0FA11695"/>
    <w:rsid w:val="0FA26E81"/>
    <w:rsid w:val="0FA615E1"/>
    <w:rsid w:val="0FAD0019"/>
    <w:rsid w:val="0FAD3299"/>
    <w:rsid w:val="0FAD3F5A"/>
    <w:rsid w:val="0FB261C9"/>
    <w:rsid w:val="0FB31343"/>
    <w:rsid w:val="0FB714C3"/>
    <w:rsid w:val="0FC12836"/>
    <w:rsid w:val="0FC427AC"/>
    <w:rsid w:val="0FC6203C"/>
    <w:rsid w:val="0FD95333"/>
    <w:rsid w:val="0FDD44E9"/>
    <w:rsid w:val="0FE0698F"/>
    <w:rsid w:val="0FE23A01"/>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7C7AF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821AF"/>
    <w:rsid w:val="10DF786B"/>
    <w:rsid w:val="10E0255E"/>
    <w:rsid w:val="10EC75B1"/>
    <w:rsid w:val="10F33CC1"/>
    <w:rsid w:val="10FA45D2"/>
    <w:rsid w:val="10FD6E37"/>
    <w:rsid w:val="11024527"/>
    <w:rsid w:val="110A4489"/>
    <w:rsid w:val="11150F62"/>
    <w:rsid w:val="111A28E5"/>
    <w:rsid w:val="111D46E5"/>
    <w:rsid w:val="111E5679"/>
    <w:rsid w:val="112244AF"/>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DD4F5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A3AF9"/>
    <w:rsid w:val="151B0462"/>
    <w:rsid w:val="151C45D8"/>
    <w:rsid w:val="15290336"/>
    <w:rsid w:val="15297BD7"/>
    <w:rsid w:val="152E6293"/>
    <w:rsid w:val="15325A1E"/>
    <w:rsid w:val="153B59AE"/>
    <w:rsid w:val="1542012A"/>
    <w:rsid w:val="15422ACA"/>
    <w:rsid w:val="154D4A84"/>
    <w:rsid w:val="15502EB7"/>
    <w:rsid w:val="155424D6"/>
    <w:rsid w:val="155605E9"/>
    <w:rsid w:val="155B1745"/>
    <w:rsid w:val="155F651D"/>
    <w:rsid w:val="15655F19"/>
    <w:rsid w:val="156870BF"/>
    <w:rsid w:val="157348EB"/>
    <w:rsid w:val="157500D8"/>
    <w:rsid w:val="15787FE5"/>
    <w:rsid w:val="157E21FE"/>
    <w:rsid w:val="157E5AA6"/>
    <w:rsid w:val="157F4CD7"/>
    <w:rsid w:val="1584502B"/>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5EA2C22"/>
    <w:rsid w:val="15F53F0F"/>
    <w:rsid w:val="160A3803"/>
    <w:rsid w:val="160C437B"/>
    <w:rsid w:val="161033BE"/>
    <w:rsid w:val="16147F08"/>
    <w:rsid w:val="16160429"/>
    <w:rsid w:val="161C3234"/>
    <w:rsid w:val="162F0727"/>
    <w:rsid w:val="16302232"/>
    <w:rsid w:val="163562A4"/>
    <w:rsid w:val="163905F4"/>
    <w:rsid w:val="163A584C"/>
    <w:rsid w:val="164051D9"/>
    <w:rsid w:val="1641433F"/>
    <w:rsid w:val="164875ED"/>
    <w:rsid w:val="164A3AD6"/>
    <w:rsid w:val="164B2B96"/>
    <w:rsid w:val="164D6264"/>
    <w:rsid w:val="165511E0"/>
    <w:rsid w:val="16596D4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40EF0"/>
    <w:rsid w:val="17256955"/>
    <w:rsid w:val="17260A88"/>
    <w:rsid w:val="172B0F34"/>
    <w:rsid w:val="172B6CEB"/>
    <w:rsid w:val="172E31B3"/>
    <w:rsid w:val="17343071"/>
    <w:rsid w:val="17350245"/>
    <w:rsid w:val="17382580"/>
    <w:rsid w:val="17425826"/>
    <w:rsid w:val="174A2BD1"/>
    <w:rsid w:val="174D3983"/>
    <w:rsid w:val="17595246"/>
    <w:rsid w:val="175E4288"/>
    <w:rsid w:val="175F6489"/>
    <w:rsid w:val="17650A34"/>
    <w:rsid w:val="17652ACF"/>
    <w:rsid w:val="17672074"/>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EF069D"/>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86C5B"/>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44DE6"/>
    <w:rsid w:val="1A5571F4"/>
    <w:rsid w:val="1A5760FC"/>
    <w:rsid w:val="1A5B0C0F"/>
    <w:rsid w:val="1A5F2F04"/>
    <w:rsid w:val="1A5F7253"/>
    <w:rsid w:val="1A6A0EEA"/>
    <w:rsid w:val="1A6B64C2"/>
    <w:rsid w:val="1A6D22C8"/>
    <w:rsid w:val="1A6E6393"/>
    <w:rsid w:val="1A6F5AC3"/>
    <w:rsid w:val="1A725418"/>
    <w:rsid w:val="1A7A2EF9"/>
    <w:rsid w:val="1A7E54E2"/>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A3D9E"/>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15EC"/>
    <w:rsid w:val="1BF92025"/>
    <w:rsid w:val="1BF9326D"/>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276A9"/>
    <w:rsid w:val="1D8C6C1B"/>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DFF60C2"/>
    <w:rsid w:val="1E02615D"/>
    <w:rsid w:val="1E093D7D"/>
    <w:rsid w:val="1E143B97"/>
    <w:rsid w:val="1E183872"/>
    <w:rsid w:val="1E1D7E95"/>
    <w:rsid w:val="1E201A27"/>
    <w:rsid w:val="1E224747"/>
    <w:rsid w:val="1E247301"/>
    <w:rsid w:val="1E2B2F2B"/>
    <w:rsid w:val="1E304B88"/>
    <w:rsid w:val="1E377B48"/>
    <w:rsid w:val="1E3E02E7"/>
    <w:rsid w:val="1E6703B7"/>
    <w:rsid w:val="1E680B85"/>
    <w:rsid w:val="1E6B2336"/>
    <w:rsid w:val="1E712925"/>
    <w:rsid w:val="1E75767B"/>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026A0"/>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16BF6"/>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13990"/>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E27CB"/>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A4626"/>
    <w:rsid w:val="211C198B"/>
    <w:rsid w:val="211C7EF8"/>
    <w:rsid w:val="21201AED"/>
    <w:rsid w:val="212F6A59"/>
    <w:rsid w:val="213020AE"/>
    <w:rsid w:val="21306305"/>
    <w:rsid w:val="21330562"/>
    <w:rsid w:val="21361B20"/>
    <w:rsid w:val="213D54AD"/>
    <w:rsid w:val="214169BB"/>
    <w:rsid w:val="2144141D"/>
    <w:rsid w:val="214B1974"/>
    <w:rsid w:val="214F4863"/>
    <w:rsid w:val="21500A96"/>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90B5D"/>
    <w:rsid w:val="21AA5245"/>
    <w:rsid w:val="21AB4F6A"/>
    <w:rsid w:val="21AB77F7"/>
    <w:rsid w:val="21AC4ECC"/>
    <w:rsid w:val="21AD30AE"/>
    <w:rsid w:val="21B43633"/>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44177"/>
    <w:rsid w:val="22680B07"/>
    <w:rsid w:val="22681A0E"/>
    <w:rsid w:val="226E20BA"/>
    <w:rsid w:val="22713317"/>
    <w:rsid w:val="227D6059"/>
    <w:rsid w:val="227F5037"/>
    <w:rsid w:val="228041D7"/>
    <w:rsid w:val="228A008B"/>
    <w:rsid w:val="228A2082"/>
    <w:rsid w:val="228D63FC"/>
    <w:rsid w:val="229A716A"/>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0B41EB"/>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2CD1"/>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D4A2F"/>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ED38F7"/>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C566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448E9"/>
    <w:rsid w:val="2618762A"/>
    <w:rsid w:val="26217848"/>
    <w:rsid w:val="2625247E"/>
    <w:rsid w:val="262E20E8"/>
    <w:rsid w:val="262E34C1"/>
    <w:rsid w:val="263E0775"/>
    <w:rsid w:val="2640682F"/>
    <w:rsid w:val="26472F6E"/>
    <w:rsid w:val="264F1C1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091981"/>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40638"/>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F0B9A"/>
    <w:rsid w:val="284543A1"/>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448B4"/>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0096A"/>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C4A0C"/>
    <w:rsid w:val="2A0F1A72"/>
    <w:rsid w:val="2A0F7591"/>
    <w:rsid w:val="2A13176E"/>
    <w:rsid w:val="2A1646D4"/>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764D9"/>
    <w:rsid w:val="2A7A022E"/>
    <w:rsid w:val="2A7B6C4A"/>
    <w:rsid w:val="2A8A27A6"/>
    <w:rsid w:val="2A8A57BB"/>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08D8"/>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14000"/>
    <w:rsid w:val="2BB44220"/>
    <w:rsid w:val="2BB61EA7"/>
    <w:rsid w:val="2BBA6EF5"/>
    <w:rsid w:val="2BBD5502"/>
    <w:rsid w:val="2BBE53B4"/>
    <w:rsid w:val="2BC0397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87BAC"/>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560DC"/>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55250"/>
    <w:rsid w:val="2E2630D7"/>
    <w:rsid w:val="2E2806DD"/>
    <w:rsid w:val="2E290C48"/>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26CF6"/>
    <w:rsid w:val="2E993370"/>
    <w:rsid w:val="2E9A086A"/>
    <w:rsid w:val="2E9A69ED"/>
    <w:rsid w:val="2E9B22A9"/>
    <w:rsid w:val="2EA049A8"/>
    <w:rsid w:val="2EA26ABE"/>
    <w:rsid w:val="2EA72F10"/>
    <w:rsid w:val="2EA74B75"/>
    <w:rsid w:val="2EAA3A90"/>
    <w:rsid w:val="2EB61295"/>
    <w:rsid w:val="2EB941A6"/>
    <w:rsid w:val="2EC24BC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3412"/>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DB1B1A"/>
    <w:rsid w:val="2FDC5684"/>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80966"/>
    <w:rsid w:val="333A0536"/>
    <w:rsid w:val="333E0FE1"/>
    <w:rsid w:val="333F4C47"/>
    <w:rsid w:val="333F6941"/>
    <w:rsid w:val="334D7767"/>
    <w:rsid w:val="33610DDA"/>
    <w:rsid w:val="3362171F"/>
    <w:rsid w:val="3366319E"/>
    <w:rsid w:val="336A11D9"/>
    <w:rsid w:val="336C2B69"/>
    <w:rsid w:val="336D3B91"/>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DA0E45"/>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21EC2"/>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80E22"/>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12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8FF0674"/>
    <w:rsid w:val="39065A02"/>
    <w:rsid w:val="39105718"/>
    <w:rsid w:val="3913384B"/>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11AF"/>
    <w:rsid w:val="395C697A"/>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028BA"/>
    <w:rsid w:val="3A8B3C77"/>
    <w:rsid w:val="3A971F5B"/>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6C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204AA"/>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255B4"/>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21B4B"/>
    <w:rsid w:val="3F3C6744"/>
    <w:rsid w:val="3F421D47"/>
    <w:rsid w:val="3F441B08"/>
    <w:rsid w:val="3F4A4087"/>
    <w:rsid w:val="3F5361F5"/>
    <w:rsid w:val="3F555F0F"/>
    <w:rsid w:val="3F556D23"/>
    <w:rsid w:val="3F6B3632"/>
    <w:rsid w:val="3F742249"/>
    <w:rsid w:val="3F776E0A"/>
    <w:rsid w:val="3F8978E2"/>
    <w:rsid w:val="3F952814"/>
    <w:rsid w:val="3F956B94"/>
    <w:rsid w:val="3F9C0821"/>
    <w:rsid w:val="3F9C213C"/>
    <w:rsid w:val="3FA41C63"/>
    <w:rsid w:val="3FAA70C5"/>
    <w:rsid w:val="3FAB100B"/>
    <w:rsid w:val="3FAB3D87"/>
    <w:rsid w:val="3FAB41A2"/>
    <w:rsid w:val="3FAE47F6"/>
    <w:rsid w:val="3FB03D8B"/>
    <w:rsid w:val="3FB77F5A"/>
    <w:rsid w:val="3FBB4BEF"/>
    <w:rsid w:val="3FBE30B8"/>
    <w:rsid w:val="3FC80830"/>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F7DEB"/>
    <w:rsid w:val="40572DA6"/>
    <w:rsid w:val="40580367"/>
    <w:rsid w:val="405A424E"/>
    <w:rsid w:val="405B06C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54851"/>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38B6"/>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B2562"/>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ED069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6C5F34"/>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04774"/>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3778A"/>
    <w:rsid w:val="466D3070"/>
    <w:rsid w:val="4671651F"/>
    <w:rsid w:val="46787358"/>
    <w:rsid w:val="467929D1"/>
    <w:rsid w:val="4679494F"/>
    <w:rsid w:val="467A6815"/>
    <w:rsid w:val="467D6082"/>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5D3E81"/>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0559D"/>
    <w:rsid w:val="48111DC2"/>
    <w:rsid w:val="48156BFB"/>
    <w:rsid w:val="481E5F8D"/>
    <w:rsid w:val="48204877"/>
    <w:rsid w:val="482B39B5"/>
    <w:rsid w:val="482D350F"/>
    <w:rsid w:val="483A4006"/>
    <w:rsid w:val="483B5BCA"/>
    <w:rsid w:val="483C2A8C"/>
    <w:rsid w:val="483E41E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5249E"/>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44B5E"/>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21845"/>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9FC4B03"/>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37164"/>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A6EDA"/>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45F66"/>
    <w:rsid w:val="4CA6111C"/>
    <w:rsid w:val="4CA867B8"/>
    <w:rsid w:val="4CB3742C"/>
    <w:rsid w:val="4CB50036"/>
    <w:rsid w:val="4CB63E1D"/>
    <w:rsid w:val="4CBB546E"/>
    <w:rsid w:val="4CC17C3E"/>
    <w:rsid w:val="4CC25B41"/>
    <w:rsid w:val="4CC42462"/>
    <w:rsid w:val="4CC42E37"/>
    <w:rsid w:val="4CC65E86"/>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B1AD3"/>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815F0"/>
    <w:rsid w:val="4E0939E5"/>
    <w:rsid w:val="4E1561BE"/>
    <w:rsid w:val="4E176DF3"/>
    <w:rsid w:val="4E1A2F68"/>
    <w:rsid w:val="4E1E7D0E"/>
    <w:rsid w:val="4E210A5C"/>
    <w:rsid w:val="4E2503F3"/>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02605"/>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72E66"/>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4F2E59"/>
    <w:rsid w:val="515361F4"/>
    <w:rsid w:val="515529BB"/>
    <w:rsid w:val="515A64E3"/>
    <w:rsid w:val="515C30A6"/>
    <w:rsid w:val="51600393"/>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4D342E"/>
    <w:rsid w:val="524E54BD"/>
    <w:rsid w:val="5257696B"/>
    <w:rsid w:val="525D4BC4"/>
    <w:rsid w:val="52612620"/>
    <w:rsid w:val="526325FA"/>
    <w:rsid w:val="526478E1"/>
    <w:rsid w:val="52655A0C"/>
    <w:rsid w:val="526A1A2F"/>
    <w:rsid w:val="526A546C"/>
    <w:rsid w:val="52747EDD"/>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E3CF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42800"/>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1B7A03"/>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4B2B"/>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26867"/>
    <w:rsid w:val="57095761"/>
    <w:rsid w:val="570A13B6"/>
    <w:rsid w:val="571777C3"/>
    <w:rsid w:val="571B1F7E"/>
    <w:rsid w:val="571D34AC"/>
    <w:rsid w:val="571F270E"/>
    <w:rsid w:val="571F38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022B1"/>
    <w:rsid w:val="5A8F76C1"/>
    <w:rsid w:val="5A921A04"/>
    <w:rsid w:val="5A9A0A66"/>
    <w:rsid w:val="5AA541CF"/>
    <w:rsid w:val="5AAF48E4"/>
    <w:rsid w:val="5AB37B5F"/>
    <w:rsid w:val="5AB96041"/>
    <w:rsid w:val="5ABC4831"/>
    <w:rsid w:val="5ABC6BFA"/>
    <w:rsid w:val="5ABF01E8"/>
    <w:rsid w:val="5ABF6C57"/>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63A4F"/>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A2919"/>
    <w:rsid w:val="5C84202F"/>
    <w:rsid w:val="5C8A56BD"/>
    <w:rsid w:val="5C8F19C2"/>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B6E99"/>
    <w:rsid w:val="5D3C59F3"/>
    <w:rsid w:val="5D473075"/>
    <w:rsid w:val="5D475E41"/>
    <w:rsid w:val="5D4822EE"/>
    <w:rsid w:val="5D497BC5"/>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360B2"/>
    <w:rsid w:val="5DE44DF4"/>
    <w:rsid w:val="5DED4540"/>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125B6"/>
    <w:rsid w:val="5EA36A9B"/>
    <w:rsid w:val="5EA42C37"/>
    <w:rsid w:val="5EA648E2"/>
    <w:rsid w:val="5EA71C01"/>
    <w:rsid w:val="5EB24CFE"/>
    <w:rsid w:val="5EB32415"/>
    <w:rsid w:val="5EB46AD2"/>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63A63"/>
    <w:rsid w:val="5FF744A9"/>
    <w:rsid w:val="5FF76947"/>
    <w:rsid w:val="5FFB17C7"/>
    <w:rsid w:val="5FFE6C22"/>
    <w:rsid w:val="60000309"/>
    <w:rsid w:val="600B6B90"/>
    <w:rsid w:val="600C3224"/>
    <w:rsid w:val="600F6605"/>
    <w:rsid w:val="60141E89"/>
    <w:rsid w:val="60143AD3"/>
    <w:rsid w:val="60281FCD"/>
    <w:rsid w:val="602876AC"/>
    <w:rsid w:val="602A2F80"/>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1635"/>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7469BE"/>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A118D"/>
    <w:rsid w:val="639B7C08"/>
    <w:rsid w:val="63A13147"/>
    <w:rsid w:val="63A2005F"/>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C7C04"/>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1F1E"/>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A261B"/>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634E10"/>
    <w:rsid w:val="66727620"/>
    <w:rsid w:val="66763EED"/>
    <w:rsid w:val="66782A0E"/>
    <w:rsid w:val="667930F9"/>
    <w:rsid w:val="6679372B"/>
    <w:rsid w:val="667B3C56"/>
    <w:rsid w:val="667C18AF"/>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B2081"/>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C5312"/>
    <w:rsid w:val="67F0511C"/>
    <w:rsid w:val="67F5522D"/>
    <w:rsid w:val="67F73BC6"/>
    <w:rsid w:val="68033400"/>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24FDB"/>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A144C"/>
    <w:rsid w:val="693C5AA5"/>
    <w:rsid w:val="693D00F1"/>
    <w:rsid w:val="693E13B7"/>
    <w:rsid w:val="69421566"/>
    <w:rsid w:val="69430240"/>
    <w:rsid w:val="69452488"/>
    <w:rsid w:val="694A6D5C"/>
    <w:rsid w:val="694C7D2C"/>
    <w:rsid w:val="695048C2"/>
    <w:rsid w:val="6951205B"/>
    <w:rsid w:val="6953741D"/>
    <w:rsid w:val="69552B47"/>
    <w:rsid w:val="6956014F"/>
    <w:rsid w:val="696F3842"/>
    <w:rsid w:val="69731101"/>
    <w:rsid w:val="6974083C"/>
    <w:rsid w:val="697D087B"/>
    <w:rsid w:val="69807B1E"/>
    <w:rsid w:val="698D012C"/>
    <w:rsid w:val="69990389"/>
    <w:rsid w:val="69992E3D"/>
    <w:rsid w:val="69A71B52"/>
    <w:rsid w:val="69A7770D"/>
    <w:rsid w:val="69A966F8"/>
    <w:rsid w:val="69AC0B64"/>
    <w:rsid w:val="69B27491"/>
    <w:rsid w:val="69B27C94"/>
    <w:rsid w:val="69BA2288"/>
    <w:rsid w:val="69BB7CE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E31AA"/>
    <w:rsid w:val="6A3F4FDB"/>
    <w:rsid w:val="6A4F4F6F"/>
    <w:rsid w:val="6A532FF6"/>
    <w:rsid w:val="6A601C8F"/>
    <w:rsid w:val="6A6A0FDF"/>
    <w:rsid w:val="6A7018EB"/>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26ADC"/>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8E6327"/>
    <w:rsid w:val="6C9360FF"/>
    <w:rsid w:val="6C95615F"/>
    <w:rsid w:val="6CA94419"/>
    <w:rsid w:val="6CB242A2"/>
    <w:rsid w:val="6CB92EE5"/>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DFC2E5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0D763F"/>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6B325C"/>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5652"/>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81260C"/>
    <w:rsid w:val="70910C43"/>
    <w:rsid w:val="70992BBC"/>
    <w:rsid w:val="709E4E34"/>
    <w:rsid w:val="709E640C"/>
    <w:rsid w:val="70A106DA"/>
    <w:rsid w:val="70A156F4"/>
    <w:rsid w:val="70A24763"/>
    <w:rsid w:val="70AC0E63"/>
    <w:rsid w:val="70AD3868"/>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0B0B"/>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37A8"/>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4343"/>
    <w:rsid w:val="73CE1997"/>
    <w:rsid w:val="73D260A7"/>
    <w:rsid w:val="73DB12EA"/>
    <w:rsid w:val="73DB45F5"/>
    <w:rsid w:val="73DD28DF"/>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438C8"/>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343C8"/>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7469E2"/>
    <w:rsid w:val="76775F0B"/>
    <w:rsid w:val="76790669"/>
    <w:rsid w:val="767E2DAC"/>
    <w:rsid w:val="76894819"/>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0F3562"/>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810BA"/>
    <w:rsid w:val="779A317D"/>
    <w:rsid w:val="779D7890"/>
    <w:rsid w:val="779E1756"/>
    <w:rsid w:val="779E309B"/>
    <w:rsid w:val="77A31525"/>
    <w:rsid w:val="77A47BCA"/>
    <w:rsid w:val="77A60647"/>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32A2D"/>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8FD5B1F"/>
    <w:rsid w:val="79017AED"/>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07C95"/>
    <w:rsid w:val="798C57FA"/>
    <w:rsid w:val="798E4989"/>
    <w:rsid w:val="7990174F"/>
    <w:rsid w:val="799537B4"/>
    <w:rsid w:val="799A4E91"/>
    <w:rsid w:val="79A02BCA"/>
    <w:rsid w:val="79A15149"/>
    <w:rsid w:val="79A37CCA"/>
    <w:rsid w:val="79A71C2E"/>
    <w:rsid w:val="79A74BCA"/>
    <w:rsid w:val="79A75AAF"/>
    <w:rsid w:val="79AE39E9"/>
    <w:rsid w:val="79B47AD2"/>
    <w:rsid w:val="79B57356"/>
    <w:rsid w:val="79BB48AD"/>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B7CF1"/>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71614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CD6A60"/>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1156"/>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737DF"/>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59077B"/>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Normal Indent"/>
    <w:basedOn w:val="1"/>
    <w:qFormat/>
    <w:uiPriority w:val="0"/>
    <w:rPr>
      <w:szCs w:val="20"/>
    </w:rPr>
  </w:style>
  <w:style w:type="paragraph" w:styleId="13">
    <w:name w:val="caption"/>
    <w:basedOn w:val="1"/>
    <w:next w:val="1"/>
    <w:link w:val="74"/>
    <w:qFormat/>
    <w:uiPriority w:val="0"/>
    <w:pPr>
      <w:widowControl/>
      <w:spacing w:before="152"/>
    </w:pPr>
    <w:rPr>
      <w:rFonts w:ascii="Arial" w:hAnsi="Arial" w:eastAsia="黑体"/>
      <w:kern w:val="0"/>
      <w:sz w:val="20"/>
      <w:szCs w:val="20"/>
    </w:rPr>
  </w:style>
  <w:style w:type="paragraph" w:styleId="14">
    <w:name w:val="Document Map"/>
    <w:basedOn w:val="1"/>
    <w:link w:val="83"/>
    <w:unhideWhenUsed/>
    <w:qFormat/>
    <w:uiPriority w:val="99"/>
    <w:rPr>
      <w:rFonts w:ascii="宋体"/>
      <w:kern w:val="0"/>
      <w:sz w:val="18"/>
      <w:szCs w:val="18"/>
    </w:rPr>
  </w:style>
  <w:style w:type="paragraph" w:styleId="15">
    <w:name w:val="annotation text"/>
    <w:basedOn w:val="1"/>
    <w:link w:val="92"/>
    <w:unhideWhenUsed/>
    <w:qFormat/>
    <w:uiPriority w:val="99"/>
    <w:rPr>
      <w:sz w:val="20"/>
      <w:szCs w:val="20"/>
    </w:rPr>
  </w:style>
  <w:style w:type="paragraph" w:styleId="16">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5"/>
    <w:next w:val="15"/>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3"/>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6"/>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4"/>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5"/>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6"/>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character" w:customStyle="1" w:styleId="104">
    <w:name w:val="Default Paragraph Font 2"/>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2024-02-19T16:15:00Z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